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omfortaa" w:cs="Comfortaa" w:eastAsia="Comfortaa" w:hAnsi="Comfortaa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-290512</wp:posOffset>
            </wp:positionH>
            <wp:positionV relativeFrom="paragraph">
              <wp:posOffset>114300</wp:posOffset>
            </wp:positionV>
            <wp:extent cx="6596063" cy="11525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6063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omfortaa" w:cs="Comfortaa" w:eastAsia="Comfortaa" w:hAnsi="Comfortaa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40"/>
          <w:szCs w:val="40"/>
          <w:u w:val="single"/>
          <w:rtl w:val="0"/>
        </w:rPr>
        <w:t xml:space="preserve">Algebra 1, Geometry, Algebra 2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2 Mead Graph Notebooks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10 Pack Crayola Thin Markers or Colored Pencils  (will remain in classroom)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2 Glue Sticks (will remain in classroom)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1 Expo Marker  (will remain in classroom)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TI-83, TI-84, or anything in the 83 or 84 family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Comfortaa" w:cs="Comfortaa" w:eastAsia="Comfortaa" w:hAnsi="Comfortaa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40"/>
          <w:szCs w:val="40"/>
          <w:u w:val="single"/>
          <w:rtl w:val="0"/>
        </w:rPr>
        <w:t xml:space="preserve">Pre-Algebra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jc w:val="left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2 Mead Graph Notebooks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10 Pack Crayola Thin Markers or Colored Pencils  (will remain in classroom)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2 Glue Sticks (will remain in classroom)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1 Expo Marker  (will remain in classroom)</w:t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